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1" w:rsidRDefault="00820461" w:rsidP="00820461">
      <w:pPr>
        <w:pStyle w:val="ConsPlusNormal"/>
        <w:outlineLvl w:val="0"/>
      </w:pPr>
      <w:r>
        <w:t>Зарегистрировано в Минюсте России 3 декабря 2020 г. N 61245</w:t>
      </w:r>
    </w:p>
    <w:p w:rsidR="00820461" w:rsidRDefault="00820461" w:rsidP="00820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r>
        <w:t>МИНИСТЕРСТВО ЗДРАВООХРАНЕНИЯ РОССИЙСКОЙ ФЕДЕРАЦИИ</w:t>
      </w:r>
    </w:p>
    <w:p w:rsidR="00820461" w:rsidRDefault="00820461" w:rsidP="00820461">
      <w:pPr>
        <w:pStyle w:val="ConsPlusTitle"/>
        <w:jc w:val="center"/>
      </w:pPr>
    </w:p>
    <w:p w:rsidR="00820461" w:rsidRDefault="00820461" w:rsidP="00820461">
      <w:pPr>
        <w:pStyle w:val="ConsPlusTitle"/>
        <w:jc w:val="center"/>
      </w:pPr>
      <w:r>
        <w:t>ПРИКАЗ</w:t>
      </w:r>
    </w:p>
    <w:p w:rsidR="00820461" w:rsidRDefault="00820461" w:rsidP="00820461">
      <w:pPr>
        <w:pStyle w:val="ConsPlusTitle"/>
        <w:jc w:val="center"/>
      </w:pPr>
      <w:r>
        <w:t>от 29 октября 2020 г. N 1177н</w:t>
      </w:r>
    </w:p>
    <w:p w:rsidR="00820461" w:rsidRDefault="00820461" w:rsidP="00820461">
      <w:pPr>
        <w:pStyle w:val="ConsPlusTitle"/>
        <w:jc w:val="center"/>
      </w:pPr>
    </w:p>
    <w:p w:rsidR="00820461" w:rsidRDefault="00820461" w:rsidP="00820461">
      <w:pPr>
        <w:pStyle w:val="ConsPlusTitle"/>
        <w:jc w:val="center"/>
      </w:pPr>
      <w:r>
        <w:t>ОБ УТВЕРЖДЕНИИ ПОРЯДКА</w:t>
      </w:r>
    </w:p>
    <w:p w:rsidR="00820461" w:rsidRDefault="00820461" w:rsidP="00820461">
      <w:pPr>
        <w:pStyle w:val="ConsPlusTitle"/>
        <w:jc w:val="center"/>
      </w:pPr>
      <w:r>
        <w:t>ОРГАНИЗАЦИИ И ОСУЩЕСТВЛЕНИЯ ПРОФИЛАКТИКИ НЕИНФЕКЦИОННЫХ</w:t>
      </w:r>
    </w:p>
    <w:p w:rsidR="00820461" w:rsidRDefault="00820461" w:rsidP="00820461">
      <w:pPr>
        <w:pStyle w:val="ConsPlusTitle"/>
        <w:jc w:val="center"/>
      </w:pPr>
      <w:r>
        <w:t>ЗАБОЛЕВАНИЙ И ПРОВЕДЕНИЯ МЕРОПРИЯТИЙ ПО ФОРМИРОВАНИЮ</w:t>
      </w:r>
    </w:p>
    <w:p w:rsidR="00820461" w:rsidRDefault="00820461" w:rsidP="00820461">
      <w:pPr>
        <w:pStyle w:val="ConsPlusTitle"/>
        <w:jc w:val="center"/>
      </w:pPr>
      <w:r>
        <w:t>ЗДОРОВОГО ОБРАЗА ЖИЗНИ В МЕДИЦИНСКИХ ОРГАНИЗАЦИЯХ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согласно приложению.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</w:pPr>
      <w:r>
        <w:t>Министр</w:t>
      </w:r>
    </w:p>
    <w:p w:rsidR="00820461" w:rsidRDefault="00820461" w:rsidP="00820461">
      <w:pPr>
        <w:pStyle w:val="ConsPlusNormal"/>
        <w:jc w:val="right"/>
      </w:pPr>
      <w:r>
        <w:t>М.А.МУРАШКО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0"/>
      </w:pPr>
      <w:r>
        <w:t>Приложение</w:t>
      </w:r>
    </w:p>
    <w:p w:rsidR="00820461" w:rsidRDefault="00820461" w:rsidP="00820461">
      <w:pPr>
        <w:pStyle w:val="ConsPlusNormal"/>
        <w:jc w:val="right"/>
      </w:pPr>
      <w:r>
        <w:t>к приказу</w:t>
      </w:r>
    </w:p>
    <w:p w:rsidR="00820461" w:rsidRDefault="00820461" w:rsidP="00820461">
      <w:pPr>
        <w:pStyle w:val="ConsPlusNormal"/>
        <w:jc w:val="right"/>
      </w:pPr>
      <w:r>
        <w:t>Министерства здравоохранения</w:t>
      </w:r>
    </w:p>
    <w:p w:rsidR="00820461" w:rsidRDefault="00820461" w:rsidP="00820461">
      <w:pPr>
        <w:pStyle w:val="ConsPlusNormal"/>
        <w:jc w:val="right"/>
      </w:pPr>
      <w:r>
        <w:t>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0" w:name="Par31"/>
      <w:bookmarkEnd w:id="0"/>
      <w:r>
        <w:t>ПОРЯДОК</w:t>
      </w:r>
    </w:p>
    <w:p w:rsidR="00820461" w:rsidRDefault="00820461" w:rsidP="00820461">
      <w:pPr>
        <w:pStyle w:val="ConsPlusTitle"/>
        <w:jc w:val="center"/>
      </w:pPr>
      <w:r>
        <w:t>ОРГАНИЗАЦИИ И ОСУЩЕСТВЛЕНИЯ ПРОФИЛАКТИКИ НЕИНФЕКЦИОННЫХ</w:t>
      </w:r>
    </w:p>
    <w:p w:rsidR="00820461" w:rsidRDefault="00820461" w:rsidP="00820461">
      <w:pPr>
        <w:pStyle w:val="ConsPlusTitle"/>
        <w:jc w:val="center"/>
      </w:pPr>
      <w:r>
        <w:t>ЗАБОЛЕВАНИЙ И ПРОВЕДЕНИЯ МЕРОПРИЯТИЙ ПО ФОРМИРОВАНИЮ</w:t>
      </w:r>
    </w:p>
    <w:p w:rsidR="00820461" w:rsidRDefault="00820461" w:rsidP="00820461">
      <w:pPr>
        <w:pStyle w:val="ConsPlusTitle"/>
        <w:jc w:val="center"/>
      </w:pPr>
      <w:r>
        <w:t>ЗДОРОВОГО ОБРАЗА ЖИЗНИ В МЕДИЦИНСКИХ ОРГАНИЗАЦИЯХ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1. Настоящий Порядок устанавливает правила организации и осуществления профилактики неинфекционных заболеваний, а также проведения мероприятий по формированию здорового образа жизни (далее - профилактика неинфекционных заболеваний) в медицинских организациях и иных организациях, осуществляющих медицинскую деятельность (далее - медицинские организации).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2. Профилактика неинфекционных заболеваний обеспечивается путем: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1) разработки и реализации региональных, муниципальных и корпоративных программ общественного здоровья, направленных на формирование культуры ответственного отношения граждан к своему здоровью, создания условий для ведения </w:t>
      </w:r>
      <w:r>
        <w:lastRenderedPageBreak/>
        <w:t>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2) осуществления мероприятий по предупреждению, раннему выявлению и коррекции факторов риска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3) раннего выявления неинфекционных заболеваний в рамках профилактических медицинских осмотров и диспансеризации;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4) диспансерного наблюдения за гражданами, имеющими хронические неинфекционные заболевания или высокий риск их развития;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5) лечения неинфекционных заболеваний в целях предупреждения осложнений их течения.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3. Профилактика неинфекционных заболеваний осуществляется медицинскими работниками в рамках оказания медицинской помощи пациентам с неинфекционными заболеваниями по профилю медицинской организации и включает: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информирование пациентов о факторах риска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информирование пациентов о существующих способах отказа от потребления алкоголя и табака, оказание медицинской помощи при никотиновой, алкогольной или наркотической зависимости;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информирование пациентов о необходимости экстренного обращения за медицинской помощью при жизнеугрожающих состояниях, заболеваниях и их осложнениях, а также обучение пациентов, имеющих высокий риск развития жизнеугрожающих состояний, и членов их семей правилам первой помощи при этих состояниях;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выявление и коррекция основных факторов риска развития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направление при наличии медицинских показаний к врачу - специалисту по профилю неинфекционного заболевания, а также в отделение (кабинет) медицинской профилактики, центр здоровья в целях углубленного профилактического консультирования и коррекции факторов риска.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4. Разработка и реализация региональных, муниципальных и корпоративных программ общественного здоровья, направленных на формирование культуры ответственного отношения граждан к своему здоровью, создание условий для ведения здорового образа жизни, осуществляются центрами общественного здоровья и медицинской профилактики, осуществляющими свою деятельность в соответствии с </w:t>
      </w:r>
      <w:hyperlink w:anchor="Par442" w:tooltip="ПРАВИЛА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ar576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5. Мероприятия по предупреждению, раннему выявлению и коррекции факторов риска неинфекционных заболеваний осуществляются центрами здоровья и отделениями медицинской профилактики медицинских организаций, осуществляющими свою деятельность в соответствии с </w:t>
      </w:r>
      <w:hyperlink w:anchor="Par80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64" w:tooltip="СТАНДАРТ ОСНАЩЕНИЯ ЦЕНТРА ЗДОРОВЬЯ" w:history="1">
        <w:r>
          <w:rPr>
            <w:color w:val="0000FF"/>
          </w:rPr>
          <w:t>6</w:t>
        </w:r>
      </w:hyperlink>
      <w:r>
        <w:t xml:space="preserve"> к настоящему Порядку, а также иными медицинскими организациями в рамках оказания медицинской помощи пациентам с неинфекционными заболеваниями по соответствующему профилю.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6. Раннее выявление неинфекционных заболеваний в рамках профилактических медицинских осмотров и диспансеризации осуществляется медицинскими организациями </w:t>
      </w:r>
      <w:r>
        <w:lastRenderedPageBreak/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&lt;1&gt;.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7. Диспансерное наблюдение за гражданами, имеющими хронические неинфекционные заболевания или высокий риск их развития, осуществляется в соответствии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диспансерного наблюдения за взрослыми &lt;2&gt;.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8. Профилактика неинфекционных заболеваний может осуществляться с использованием технических средств, медицинских изделий, а также с применением телемедицинских технологий путем организации и проведения консультаций и (или) участия в консилиуме врачей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&lt;3&gt;.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9. Организация профилактики неинфекционных заболеваний осуществляется медицинскими организациями и их структурными подразделениями в соответствии с </w:t>
      </w:r>
      <w:hyperlink w:anchor="Par69" w:tooltip="Приложение N 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76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bookmarkStart w:id="1" w:name="Par69"/>
      <w:bookmarkEnd w:id="1"/>
      <w:r>
        <w:t>Приложение N 1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2" w:name="Par80"/>
      <w:bookmarkEnd w:id="2"/>
      <w:r>
        <w:t>ПРАВИЛА</w:t>
      </w:r>
    </w:p>
    <w:p w:rsidR="00820461" w:rsidRDefault="00820461" w:rsidP="00820461">
      <w:pPr>
        <w:pStyle w:val="ConsPlusTitle"/>
        <w:jc w:val="center"/>
      </w:pPr>
      <w:r>
        <w:t>ОРГАНИЗАЦИИ ДЕЯТЕЛЬНОСТИ ОТДЕЛЕНИЯ (КАБИНЕТА) МЕДИЦИНСКОЙ</w:t>
      </w:r>
    </w:p>
    <w:p w:rsidR="00820461" w:rsidRDefault="00820461" w:rsidP="00820461">
      <w:pPr>
        <w:pStyle w:val="ConsPlusTitle"/>
        <w:jc w:val="center"/>
      </w:pPr>
      <w:r>
        <w:t>ПРОФИЛАКТИКИ ДЛЯ ВЗРОСЛЫХ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медицинской профилактики для взрослых.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2. Отделение (кабинет) медицинской профилактики для взрослых является структурным подразделением медицинской организации или иной организации, осуществляющей медицинскую деятельность, оказывающей первичную медико-санитарную помощь (далее - медицинская организация).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3. В медицинской организации с численностью прикрепленного взрослого населения 20 тыс. человек и более рекомендуется создание отделения медицинской профилактики для взрослых, а с численностью прикрепленного взрослого населения менее 20 тыс. человек рекомендуется создание кабинета медицинской профилактики для взрослых.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4. На должности медицинских работников отделения (кабинета) медицинской профилактики для взрослых назначаются лица, соответствующие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&lt;1&gt;.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5. Штатная численность отделения (кабинета) медицинской профилактики для взрослых устанавливается руководителем медицинской организации, в составе которого оно создано, с учетом рекомендуемых штатных нормативов, определенных </w:t>
      </w:r>
      <w:hyperlink w:anchor="Par136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утвержденному настоящим приказом.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6. Для организации работы отделения медицинской профилактики для взрослых в его структуре рекомендуется предусматривать: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организации диспансеризации и профилактических медицинских осмотров;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диагностики и коррекции основных факторов риска развития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популяционных методов профилактики.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7. В случае отсутствия возможности выделения отдельных помещений для структурных подразделений отделения медицинской профилактики, а также при </w:t>
      </w:r>
      <w:r>
        <w:lastRenderedPageBreak/>
        <w:t>организации кабинета медицинской профилактики для взрослых, рекомендуется предусмотреть зонирование помещений для осуществления деятельности по организации диспансеризации и профилактических медицинских осмотров, диагностике и коррекции факторов риска развития неинфекционных заболеваний.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8. Оснащение отделения (кабинета) медицинской профилактики для взрослых осуществляется в соответствии со стандартом оснащения, определенным </w:t>
      </w:r>
      <w:hyperlink w:anchor="Par174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утвержденному настоящим приказом.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9. Основными функциями отделения (кабинета) медицинской профилактики для взрослых являются: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проведение мероприятий по профилактике неинфекционных заболеваний, в том числе являющихся основной причиной инвалидности и смертности населения;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участие в проведении диспансеризации и профилактических медицинских осмотров взрослого населения;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информировании граждан, находящихся на медицинском обслуживании в медицинской организации, о проведении диспансеризации и профилактических медицинских осмотров, об их целях и задачах, проведение разъяснительной работы и мотивирование граждан к прохождению диспансеризации и профилактических медицинских осмотров;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ведение медицинской документации;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сбор и предоставление первичных данных о медицинской деятельности для информационных систем в сфере здравоохранения &lt;3&gt;, в том числе контроль, учет и анализ результатов диспансеризации и профилактических медицинских осмотров;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выполнение отдельных медицинских исследований при проведении диспансеризации и профилактических медицинских осмотров;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определение (диагностика)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выявление нарушений основных условий ведения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lastRenderedPageBreak/>
        <w:t>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(школа пациента), включающего оказание медицинской помощи, направленной на прекращение потребления табака, граждан, в том числе граждан с II и III группами состояния здоровья (по направлению медицинского работника, в рамках диспансеризации);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направление пациентов в необходимых случаях к врачам-специалистам, включая направление граждан с табачной зависимостью в кабинеты оказания медицинской помощи по прекращению потребления табака, а граждан с выявленным пагубным потреблением алкоголя или риском потребления наркотических средств и психотропных веществ к врачу - психиатру-наркологу специализированной медицинской организации, оказывающей наркологическую помощь;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диспансерное наблюдение, включая назначение лекарственных препаратов для коррекции дислипидемий, за гражданами, имеющими высокий риск развития сердечно-сосудистых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обучение граждан правилам оказания первой помощи при жизнеугрожающих заболеваниях и их осложнениях (острый коронарный синдром, острые нарушения мозгового кровообращения, острая сердечная недостаточность, внезапная сердечная смерть), включая индивидуальное и (или) групповое обучение лиц, имеющих высокий риск развития указанных жизнеугрожающих состояний, и членов их семей;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кампаний, а также информирование населения, включая средства массовой информации, о методах коррекции факторов риска неинфекционных заболеваний и профилактики их осложнений;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разработке и реализации мероприятий по профилактике неинфекционных заболеваний, формированию здорового образа жизни, включая профилактику потребления наркотических средств и психотропных веществ без назначения врача.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2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3" w:name="Par136"/>
      <w:bookmarkEnd w:id="3"/>
      <w:r>
        <w:lastRenderedPageBreak/>
        <w:t>РЕКОМЕНДУЕМЫЕ ШТАТНЫЕ НОРМАТИВЫ</w:t>
      </w:r>
    </w:p>
    <w:p w:rsidR="00820461" w:rsidRDefault="00820461" w:rsidP="00820461">
      <w:pPr>
        <w:pStyle w:val="ConsPlusTitle"/>
        <w:jc w:val="center"/>
      </w:pPr>
      <w:r>
        <w:t>ОТДЕЛЕНИЯ (КАБИНЕТА) МЕДИЦИНСКОЙ ПРОФИЛАКТИКИ</w:t>
      </w:r>
    </w:p>
    <w:p w:rsidR="00820461" w:rsidRDefault="00820461" w:rsidP="00820461">
      <w:pPr>
        <w:pStyle w:val="ConsPlusTitle"/>
        <w:jc w:val="center"/>
      </w:pPr>
      <w:r>
        <w:t>ДЛЯ ВЗРОСЛЫХ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252"/>
        <w:gridCol w:w="4195"/>
      </w:tblGrid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Заведующий отделением (кабинетом) медицинской профилактики - врач по медицинской профилактике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 вместо 0,5 должности врача по медицинской профилактике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Врач по медицинской профилактике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 на 20 тыс. взрослого населения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 на отделение (кабинет)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 вместо 0,5 должности фельдшера (медицинской сестры)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Фельдшер (медицинская сестра, акушер)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 на 20 тыс. взрослого населения</w:t>
            </w:r>
          </w:p>
        </w:tc>
      </w:tr>
    </w:tbl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3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4" w:name="Par174"/>
      <w:bookmarkEnd w:id="4"/>
      <w:r>
        <w:t>СТАНДАРТ</w:t>
      </w:r>
    </w:p>
    <w:p w:rsidR="00820461" w:rsidRDefault="00820461" w:rsidP="00820461">
      <w:pPr>
        <w:pStyle w:val="ConsPlusTitle"/>
        <w:jc w:val="center"/>
      </w:pPr>
      <w:r>
        <w:t>ОСНАЩЕНИЯ ОТДЕЛЕНИЯ (КАБИНЕТА) МЕДИЦИНСКОЙ ПРОФИЛАКТИКИ</w:t>
      </w:r>
    </w:p>
    <w:p w:rsidR="00820461" w:rsidRDefault="00820461" w:rsidP="00820461">
      <w:pPr>
        <w:pStyle w:val="ConsPlusTitle"/>
        <w:jc w:val="center"/>
      </w:pPr>
      <w:r>
        <w:t>ДЛЯ ВЗРОСЛЫХ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045"/>
        <w:gridCol w:w="3401"/>
      </w:tblGrid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Тонометр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Экспресс-анализатор для определения общего холестерина в крови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Экспресс-анализатор для определения глюкозы в крови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 xml:space="preserve">Анализатор окиси углерода выдыхаемого </w:t>
            </w:r>
            <w:r>
              <w:lastRenderedPageBreak/>
              <w:t>воздуха с определением карбоксигемоглобина (смокелайзер)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Тонометр портативный для измерения внутриглазного давления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Весы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Ростомер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Секундомер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Комплект наглядных пособий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Принтер или многофункциональное устройство: принтер - копировальный аппарат - сканер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Кушетка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Стол письменный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Стулья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Процедурный столик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Бактерицидная лампа переносная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Контейнер для замачивания одноразовых мундштуков, тест-полосок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4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r>
        <w:t>ПРАВИЛА ОРГАНИЗАЦИИ ДЕЯТЕЛЬНОСТИ ЦЕНТРА ЗДОРОВЬЯ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здоровья, оказывающего медицинскую помощь по профилактике неинфекционных заболеваний взрослому населению (далее - Центр).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2. Центр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 Центр рекомендуется создавать из расчета не менее чем на 200 тыс. населения.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3. На должности медицинских работников Центра назначаются лица, соответствующие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&lt;1&gt;.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4. Структура и штатная численность Центра утверждаются руководителем медицинской организации, в составе которой он создан, с учетом рекомендуемых штатных нормативов, определенных </w:t>
      </w:r>
      <w:hyperlink w:anchor="Par319" w:tooltip="РЕКОМЕНДУЕМЫЕ ШТАТНЫЕ НОРМАТИВЫ ЦЕНТРА ЗДОРОВЬЯ" w:history="1">
        <w:r>
          <w:rPr>
            <w:color w:val="0000FF"/>
          </w:rPr>
          <w:t>приложением N 5</w:t>
        </w:r>
      </w:hyperlink>
      <w:r>
        <w:t xml:space="preserve">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организациях, утвержденному настоящим приказом.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5. Для организации работы Центра в его структуре рекомендуется предусматривать: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врача;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для проведения группового профилактического консультирования (школ пациента);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кабинеты тестирования, инструментального и лабораторного обследования;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гигиениста стоматологического;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лечебной физкультуры;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кабинет здорового питания.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lastRenderedPageBreak/>
        <w:t xml:space="preserve">6. Оснащение Центра осуществляется в соответствии со стандартом оснащения, определенным </w:t>
      </w:r>
      <w:hyperlink w:anchor="Par364" w:tooltip="СТАНДАРТ ОСНАЩЕНИЯ ЦЕНТРА ЗДОРОВЬЯ" w:history="1">
        <w:r>
          <w:rPr>
            <w:color w:val="0000FF"/>
          </w:rPr>
          <w:t>приложением N 6</w:t>
        </w:r>
      </w:hyperlink>
      <w:r>
        <w:t xml:space="preserve"> 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организациях, утвержденному настоящим приказом.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7. Основными функциями Центра являются: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оказании взрослому населению первичной медико-санитарной помощи;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проведение обследования граждан с целью оценки функциональных и адаптативных резервов здоровья, выявления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прогноза состояния здоровья, включающего определение антропометрических параметров, скрининг-оценку уровня психофизиологического и соматического здоровья, функциональных и адаптивных резервов организма, экспресс-оценку состояния сердечно-сосудистой системы, оценку показателей функций дыхательной системы, органа зрения, выявление патологических изменений зубов, болезней пародонта и слизистой оболочки полости рта;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индивидуальное консультирование граждан по вопросам ведения здорового образа жизни, включая рекомендации по рациональному питанию, двигательной активности, занятиям физической культурой и спортом, режиму сна, условиям быта, труда (учебы) и отдыха, психогигиене и управлению стрессом, профилактике факторов риска развития неинфекционных заболеваний, ответственному отношению к своему здоровью и здоровью членов своей семьи, принципам ответственного родительства;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(школа пациента), включающего оказание медицинской помощи, направленной на прекращение потребления табака, для граждан, в том числе граждан с II и III группами состояния здоровья (по направлению медицинского работника, в рамках диспансеризации);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направление пациентов в необходимых случаях к врачам-специалистам, включая направление граждан с табачной зависимостью в кабинет оказания медицинской помощи по прекращению потребления табака, а граждан с выявленным риском пагубного потребления алкоголя или риском потребления наркотических средств и психотропных веществ к врачу-психиатру-наркологу специализированной медицинской организации или иной медицинской организации, оказывающей наркологическую помощь;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индивидуальное углубленное профилактическое консультирование по вопросам здорового питания, включающее оценку фактического питания, углубленное обследование состава тканей и основного обмена организма человека, оказание медицинской помощи по оптимизации массы и состава тканей организма человека, коррекции нарушений питания;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проведении диспансеризации и профилактических медицинских осмотров;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диспансерное наблюдение, включая назначение лекарственных препаратов для коррекции дислипидемии, за гражданами, имеющими высокий риск развития сердечно-сосудистых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организация и проведение мероприятий по информированию и мотивированию </w:t>
      </w:r>
      <w:r>
        <w:lastRenderedPageBreak/>
        <w:t>граждан к ведению здорового образа жизни (в том числе в трудовых и учебных коллективах), включая рациональное питание, увеличение двигательной активности, снижение стресса, прекращение потребления табака, пагубного потребления алкоголя, а также потребления наркотических средств и психотропных веществ без назначения врача;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обучение граждан правилам оказания первой помощи при жизнеугрожающих заболеваниях и их осложнениях (острый коронарный синдром, острые нарушения мозгового кровообращения, острая сердечная недостаточность, внезапная сердечная смерть), включая индивидуальное и/или групповое обучение лиц, имеющих высокий риск развития указанных жизнеугрожающих состояний, и членов их семей;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информирование врачей медицинской организации, в составе которой организован Центр, о случаях выявления граждан с высоким риском развития сердечно-сосудистых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анализ распространенности факторов риска развития неинфекционных заболеваний, показателей заболеваемости, инвалидизации и смертности населения от указанных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участие в проведении мероприятий по пропаганде здорового образа жизни, включая пропаганду, направленную на прекращение потребления табака, пагубного потребления алкоголя и потребления наркотических средств и психотропных веществ без назначения врача среди населения;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разработке и реализации мероприятий по профилактике неинфекционных заболеваний и формированию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сбор и предоставление первичных данных о медицинской деятельности для информационных систем в сфере здравоохранения &lt;3&gt;, в том числе контроль, учет и анализ результатов диспансеризации и профилактических медицинских осмотров.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lastRenderedPageBreak/>
        <w:t>Приложение N 5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5" w:name="Par319"/>
      <w:bookmarkEnd w:id="5"/>
      <w:r>
        <w:t>РЕКОМЕНДУЕМЫЕ ШТАТНЫЕ НОРМАТИВЫ ЦЕНТРА ЗДОРОВЬЯ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09"/>
        <w:gridCol w:w="2494"/>
      </w:tblGrid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Заведующий - врач по медицинской профилактике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Врач по медицинской профилактике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40 тыс. взрослого населения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1 должность врача по медицинской профилактике</w:t>
            </w:r>
          </w:p>
        </w:tc>
      </w:tr>
      <w:tr w:rsidR="00820461" w:rsidTr="00740F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Медицинский оптик-оптометрист (медицинская сестра)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</w:tbl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6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6" w:name="Par364"/>
      <w:bookmarkEnd w:id="6"/>
      <w:r>
        <w:t>СТАНДАРТ ОСНАЩЕНИЯ ЦЕНТРА ЗДОРОВЬЯ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009"/>
        <w:gridCol w:w="2437"/>
      </w:tblGrid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Система ангиологического скрининга с автоматическим измерением систолического артериального давления и расчета плече-лодыжечного индекса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Анализатор окиси углерода выдыхаемого воздуха с определением карбоксигемоглобина (смокелайзер)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Комплект оборудования для зала лечебной физической культуры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Комплект наглядных пособий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Рабочее место гигиениста стоматологического (установка стоматологическая, компрессор, пылесос-слюноотсос)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Рабочее место медицинского оптика-оптометриста (медицинской сестры) (набор пробных очковых линз и призм с пробной оправой, проектор знаков, автоматический рефрактометр, автоматический пневмотонометр)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Рабочее место врача кабинета здорового питания (специальное программное обеспечение; ультразвуковой костный денситометр)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при наличии соответствующих возможностей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Принтер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Тонометр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Весы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Ростомер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7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7" w:name="Par442"/>
      <w:bookmarkEnd w:id="7"/>
      <w:r>
        <w:t>ПРАВИЛА</w:t>
      </w:r>
    </w:p>
    <w:p w:rsidR="00820461" w:rsidRDefault="00820461" w:rsidP="00820461">
      <w:pPr>
        <w:pStyle w:val="ConsPlusTitle"/>
        <w:jc w:val="center"/>
      </w:pPr>
      <w:r>
        <w:t>ОРГАНИЗАЦИИ ДЕЯТЕЛЬНОСТИ ЦЕНТРА ОБЩЕСТВЕННОГО ЗДОРОВЬЯ</w:t>
      </w:r>
    </w:p>
    <w:p w:rsidR="00820461" w:rsidRDefault="00820461" w:rsidP="00820461">
      <w:pPr>
        <w:pStyle w:val="ConsPlusTitle"/>
        <w:jc w:val="center"/>
      </w:pPr>
      <w:r>
        <w:t>И МЕДИЦИНСКОЙ ПРОФИЛАКТИКИ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общественного здоровья и медицинской профилактики субъекта Российской Федерации.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2. Центр общественного здоровья и медицинской профилактики (далее - Центр)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Региональный (республиканский, краевой, областной, окружной) Центр является самостоятельной медицинской организацией, осуществляющей координацию и методическое сопровождение мероприятий по разработке, реализации и оценке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жизни, в субъекте Российской Федерации.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3. Основными функциями Центра являются: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анализ смертности от неинфекционных заболеваний на региональном и муниципальном уровнях с оценкой географических, половозрастных и социальных факторов, включая оценку ожидаемой продолжительности жизни и повозрастных </w:t>
      </w:r>
      <w:r>
        <w:lastRenderedPageBreak/>
        <w:t>коэффициентов смертности;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разработке и мониторинг реализации муниципальных и корпоративных программ укрепления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межведомственного взаимодействия на региональном, муниципальном уровне по вопросам общественного здоровья,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мониторинг и анализ грамотности населения по вопросам общественного здоровья, включая оценку информированности относительно риска неинфекционных заболеваний на региональном и муниципальном уровнях, а также оценку мотивированности населения к ведению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проведение социологических исследований по вопросам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выявление и тиражирование лучших муниципальных программ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и реализация мероприятий, направленных на формирование здорового образа жизни у детей и молодежи, в субъекте Российской Федерации;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систематических занятий физической культурой и спортом;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повышение уровня профессиональной подготовки специалистов по вопросам формирования здорового образа жизни, профилактики и контроля неинфекционных заболеваний (общественного здоровья);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lastRenderedPageBreak/>
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региональных программ по популяризации рационального питания, ликвидации микронутриентной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мер по стимулированию предпринимательства и государственно-частного партнерства в области формирования здорового образа жизни и профилактики неинфекционных заболеваний в субъекте Российской Федерации;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и внедрение программ по укреплению психического здоровья, включая профилактику жестокого обращения и суицидов, в том числе среди несовершеннолетних;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 по повышению доступности медицинской помощи при табачной зависимости и алкоголизме;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 и внедрение программ, направленных на повышение числа лиц, контролирующих артериальное давление в целях профилактики осложнений сердечно-сосудистых заболеваний, в том числе посредством медицинских изделий с функцией дистанционной передачи данных;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профилактическим консультированием с целью ранней и наиболее полной коррекции выявленных поведенческих и биологических факторов риска;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разработка,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анализ результатов проведения профилактических медицинских осмотров и диспансеризации населения;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lastRenderedPageBreak/>
        <w:t>подготовка ежегодного публичного доклада о состоянии общественного здоровья в субъекте Российской Федерации с размещением его в информационно-телекоммуникационной сети "Интернет";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проведение мероприятий по повышению уровня знаний медицинских работников, сотрудников образовательных организаций, организаций культуры, организаций физической культуры и спорта, средств массовой информации, иных организаций по вопросам профилактики неинфекционных заболеваний и формирования здорового образа жизни;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подготовка и тиражирование информационных материалов для взрослого и детского населения по вопросам профилактики неинфекционных заболеваний, формирования здорового образа жизни, а также по правилам оказания первой помощи при жизнеугрожающих заболеваниях и состояниях;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взаимодействие со средствами массовой информации, информационными ресурсами в информационно-телекоммуникационной сети "Интернет" по вопросам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привлечение к реализации проектов по укреплению общественного здоровья лидеров общественного мнения, формирование местного сообщества активных граждан, представителей сообществ, общественных объединений и иных организаций в целях укрепления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проведение общественных слушаний по вопросам укрепления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ведение медицинской документации;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&lt;1&gt;;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проведении прикладных и фундаментальных научных исследований в области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участие в разработке мер по улучшению выявления и профилактики депрессивных, тревожных и постстрессовых расстройств, повышения доступности психологической и психотерапевтической помощи;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lastRenderedPageBreak/>
        <w:t>взаимодействие с образовательными организациями, организациями физической культуры и спорта,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здоровья; 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4. Для организации работы Центра в его структуре рекомендуется предусматривать: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анализа и стратегического планирования;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мониторинга факторов риска;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разработки, реализации и мониторинга муниципальных программ общественного здоровья;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коммуникационных и общественных проектов;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организации медицинской профилактики;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отдел разработки, реализации и мониторинга корпоративных программ укрепления здоровья.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5. Штатная численность Центра устанавливается с учетом рекомендуемых штатных нормативов, определенных </w:t>
      </w:r>
      <w:hyperlink w:anchor="Par52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6. На должности медицинских работников Центра назначаются лица, соответствующие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&lt;2&gt;.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определенным </w:t>
      </w:r>
      <w:hyperlink w:anchor="Par576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Порядку.</w:t>
      </w:r>
    </w:p>
    <w:p w:rsidR="00820461" w:rsidRDefault="00820461" w:rsidP="00820461">
      <w:pPr>
        <w:pStyle w:val="ConsPlusNormal"/>
        <w:spacing w:before="240"/>
        <w:ind w:firstLine="540"/>
        <w:jc w:val="both"/>
      </w:pPr>
      <w:r>
        <w:t>8. Центр может использоваться в качестве базы образовательных и научных организаций, реализующих профессиональные образовательные программы медицинского образования.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lastRenderedPageBreak/>
        <w:t>Приложение N 8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8" w:name="Par523"/>
      <w:bookmarkEnd w:id="8"/>
      <w:r>
        <w:t>РЕКОМЕНДУЕМЫЕ ШТАТНЫЕ НОРМАТИВЫ</w:t>
      </w:r>
    </w:p>
    <w:p w:rsidR="00820461" w:rsidRDefault="00820461" w:rsidP="00820461">
      <w:pPr>
        <w:pStyle w:val="ConsPlusTitle"/>
        <w:jc w:val="center"/>
      </w:pPr>
      <w:r>
        <w:t>ЦЕНТРА ОБЩЕСТВЕННОГО ЗДОРОВЬЯ И МЕДИЦИНСКОЙ ПРОФИЛАКТИКИ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88"/>
        <w:gridCol w:w="3401"/>
      </w:tblGrid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Заместитель руководителя (главного врача)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Заведующий отделом</w:t>
            </w:r>
          </w:p>
          <w:p w:rsidR="00820461" w:rsidRDefault="00820461" w:rsidP="00740F83">
            <w:pPr>
              <w:pStyle w:val="ConsPlusNormal"/>
            </w:pPr>
            <w:r>
              <w:t>(заведующий отделом - врач-специалист)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отдел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Врач-методист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100 тыс. населения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Врач по медицинской профилактике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100 тыс. населения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Специалист в сфере социологии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Инструктор по гигиеническому воспитанию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 на 100 тыс. населения</w:t>
            </w:r>
          </w:p>
        </w:tc>
      </w:tr>
      <w:tr w:rsidR="00820461" w:rsidTr="00740F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Специалист в сфере демографии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</w:t>
            </w:r>
          </w:p>
        </w:tc>
      </w:tr>
    </w:tbl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Normal"/>
        <w:jc w:val="right"/>
        <w:outlineLvl w:val="1"/>
      </w:pPr>
      <w:r>
        <w:t>Приложение N 9</w:t>
      </w:r>
    </w:p>
    <w:p w:rsidR="00820461" w:rsidRDefault="00820461" w:rsidP="00820461">
      <w:pPr>
        <w:pStyle w:val="ConsPlusNormal"/>
        <w:jc w:val="right"/>
      </w:pPr>
      <w:r>
        <w:t>к Порядку организации</w:t>
      </w:r>
    </w:p>
    <w:p w:rsidR="00820461" w:rsidRDefault="00820461" w:rsidP="00820461">
      <w:pPr>
        <w:pStyle w:val="ConsPlusNormal"/>
        <w:jc w:val="right"/>
      </w:pPr>
      <w:r>
        <w:t>и осуществления профилактики</w:t>
      </w:r>
    </w:p>
    <w:p w:rsidR="00820461" w:rsidRDefault="00820461" w:rsidP="00820461">
      <w:pPr>
        <w:pStyle w:val="ConsPlusNormal"/>
        <w:jc w:val="right"/>
      </w:pPr>
      <w:r>
        <w:t>неинфекционных заболеваний</w:t>
      </w:r>
    </w:p>
    <w:p w:rsidR="00820461" w:rsidRDefault="00820461" w:rsidP="00820461">
      <w:pPr>
        <w:pStyle w:val="ConsPlusNormal"/>
        <w:jc w:val="right"/>
      </w:pPr>
      <w:r>
        <w:t>и проведения мероприятий</w:t>
      </w:r>
    </w:p>
    <w:p w:rsidR="00820461" w:rsidRDefault="00820461" w:rsidP="00820461">
      <w:pPr>
        <w:pStyle w:val="ConsPlusNormal"/>
        <w:jc w:val="right"/>
      </w:pPr>
      <w:r>
        <w:t>по формированию здорового образа</w:t>
      </w:r>
    </w:p>
    <w:p w:rsidR="00820461" w:rsidRDefault="00820461" w:rsidP="00820461">
      <w:pPr>
        <w:pStyle w:val="ConsPlusNormal"/>
        <w:jc w:val="right"/>
      </w:pPr>
      <w:r>
        <w:t>жизни в медицинских организациях,</w:t>
      </w:r>
    </w:p>
    <w:p w:rsidR="00820461" w:rsidRDefault="00820461" w:rsidP="00820461">
      <w:pPr>
        <w:pStyle w:val="ConsPlusNormal"/>
        <w:jc w:val="right"/>
      </w:pPr>
      <w:r>
        <w:t>утвержденному приказом Министерства</w:t>
      </w:r>
    </w:p>
    <w:p w:rsidR="00820461" w:rsidRDefault="00820461" w:rsidP="00820461">
      <w:pPr>
        <w:pStyle w:val="ConsPlusNormal"/>
        <w:jc w:val="right"/>
      </w:pPr>
      <w:r>
        <w:t>здравоохранения Российской Федерации</w:t>
      </w:r>
    </w:p>
    <w:p w:rsidR="00820461" w:rsidRDefault="00820461" w:rsidP="00820461">
      <w:pPr>
        <w:pStyle w:val="ConsPlusNormal"/>
        <w:jc w:val="right"/>
      </w:pPr>
      <w:r>
        <w:t>от 29 октября 2020 г. N 1177н</w:t>
      </w:r>
    </w:p>
    <w:p w:rsidR="00820461" w:rsidRDefault="00820461" w:rsidP="00820461">
      <w:pPr>
        <w:pStyle w:val="ConsPlusNormal"/>
        <w:jc w:val="both"/>
      </w:pPr>
    </w:p>
    <w:p w:rsidR="00820461" w:rsidRDefault="00820461" w:rsidP="00820461">
      <w:pPr>
        <w:pStyle w:val="ConsPlusTitle"/>
        <w:jc w:val="center"/>
      </w:pPr>
      <w:bookmarkStart w:id="9" w:name="Par576"/>
      <w:bookmarkEnd w:id="9"/>
      <w:r>
        <w:t>СТАНДАРТ</w:t>
      </w:r>
    </w:p>
    <w:p w:rsidR="00820461" w:rsidRDefault="00820461" w:rsidP="00820461">
      <w:pPr>
        <w:pStyle w:val="ConsPlusTitle"/>
        <w:jc w:val="center"/>
      </w:pPr>
      <w:r>
        <w:lastRenderedPageBreak/>
        <w:t>ОСНАЩЕНИЯ ЦЕНТРА ОБЩЕСТВЕННОГО ЗДОРОВЬЯ</w:t>
      </w:r>
    </w:p>
    <w:p w:rsidR="00820461" w:rsidRDefault="00820461" w:rsidP="00820461">
      <w:pPr>
        <w:pStyle w:val="ConsPlusTitle"/>
        <w:jc w:val="center"/>
      </w:pPr>
      <w:r>
        <w:t>И МЕДИЦИНСКОЙ ПРОФИЛАКТИКИ</w:t>
      </w:r>
    </w:p>
    <w:p w:rsidR="00820461" w:rsidRDefault="00820461" w:rsidP="008204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066"/>
        <w:gridCol w:w="2352"/>
      </w:tblGrid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Многофункциональное копировальное устройство/</w:t>
            </w:r>
          </w:p>
          <w:p w:rsidR="00820461" w:rsidRDefault="00820461" w:rsidP="00740F83">
            <w:pPr>
              <w:pStyle w:val="ConsPlusNormal"/>
            </w:pPr>
            <w:r>
              <w:t>копировальный аппарат и принтер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 на 3 рабочих места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Комплект оборудования для наглядной пропаганды здорового образа жизни (экран, мультимедийный проектор, ноутбук)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Комплект наглядных пособий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Планшетный сканер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Фотоаппарат цифровой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Брошюратор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Автотранспорт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20461" w:rsidTr="00740F8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</w:pPr>
            <w:r>
              <w:t>Мебель для оснащения рабочего места (стол, стул, тумбочка)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61" w:rsidRDefault="00820461" w:rsidP="00740F83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</w:tbl>
    <w:p w:rsidR="00661928" w:rsidRDefault="00661928"/>
    <w:sectPr w:rsidR="00661928" w:rsidSect="0066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0461"/>
    <w:rsid w:val="00661928"/>
    <w:rsid w:val="007C7252"/>
    <w:rsid w:val="008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23527&amp;date=03.11.2021" TargetMode="External"/><Relationship Id="rId13" Type="http://schemas.openxmlformats.org/officeDocument/2006/relationships/hyperlink" Target="http://login.consultant.ru/link/?req=doc&amp;base=LAW&amp;n=389836&amp;date=03.11.2021&amp;dst=100793&amp;field=134" TargetMode="External"/><Relationship Id="rId18" Type="http://schemas.openxmlformats.org/officeDocument/2006/relationships/hyperlink" Target="http://login.consultant.ru/link/?req=doc&amp;base=LAW&amp;n=389836&amp;date=03.11.2021&amp;dst=24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363896&amp;date=03.11.2021" TargetMode="External"/><Relationship Id="rId7" Type="http://schemas.openxmlformats.org/officeDocument/2006/relationships/hyperlink" Target="http://login.consultant.ru/link/?req=doc&amp;base=LAW&amp;n=323527&amp;date=03.11.2021&amp;dst=100016&amp;field=134" TargetMode="External"/><Relationship Id="rId12" Type="http://schemas.openxmlformats.org/officeDocument/2006/relationships/hyperlink" Target="http://login.consultant.ru/link/?req=doc&amp;base=LAW&amp;n=363896&amp;date=03.11.2021" TargetMode="External"/><Relationship Id="rId17" Type="http://schemas.openxmlformats.org/officeDocument/2006/relationships/hyperlink" Target="http://login.consultant.ru/link/?req=doc&amp;base=LAW&amp;n=389836&amp;date=03.11.2021&amp;dst=10079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363896&amp;date=03.11.2021" TargetMode="External"/><Relationship Id="rId20" Type="http://schemas.openxmlformats.org/officeDocument/2006/relationships/hyperlink" Target="http://login.consultant.ru/link/?req=doc&amp;base=LAW&amp;n=363896&amp;date=03.11.2021&amp;dst=10001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72085&amp;date=03.11.2021" TargetMode="External"/><Relationship Id="rId11" Type="http://schemas.openxmlformats.org/officeDocument/2006/relationships/hyperlink" Target="http://login.consultant.ru/link/?req=doc&amp;base=LAW&amp;n=363896&amp;date=03.11.2021&amp;dst=100012&amp;field=134" TargetMode="External"/><Relationship Id="rId5" Type="http://schemas.openxmlformats.org/officeDocument/2006/relationships/hyperlink" Target="http://login.consultant.ru/link/?req=doc&amp;base=LAW&amp;n=372085&amp;date=03.11.2021&amp;dst=100023&amp;field=134" TargetMode="External"/><Relationship Id="rId15" Type="http://schemas.openxmlformats.org/officeDocument/2006/relationships/hyperlink" Target="http://login.consultant.ru/link/?req=doc&amp;base=LAW&amp;n=363896&amp;date=03.11.2021&amp;dst=100012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gin.consultant.ru/link/?req=doc&amp;base=LAW&amp;n=287515&amp;date=03.11.2021" TargetMode="External"/><Relationship Id="rId19" Type="http://schemas.openxmlformats.org/officeDocument/2006/relationships/hyperlink" Target="http://login.consultant.ru/link/?req=doc&amp;base=LAW&amp;n=389836&amp;date=03.11.2021&amp;dst=100793&amp;field=134" TargetMode="External"/><Relationship Id="rId4" Type="http://schemas.openxmlformats.org/officeDocument/2006/relationships/hyperlink" Target="http://login.consultant.ru/link/?req=doc&amp;base=LAW&amp;n=389836&amp;date=03.11.2021&amp;dst=101148&amp;field=134" TargetMode="External"/><Relationship Id="rId9" Type="http://schemas.openxmlformats.org/officeDocument/2006/relationships/hyperlink" Target="http://login.consultant.ru/link/?req=doc&amp;base=LAW&amp;n=287515&amp;date=03.11.2021&amp;dst=100009&amp;field=134" TargetMode="External"/><Relationship Id="rId14" Type="http://schemas.openxmlformats.org/officeDocument/2006/relationships/hyperlink" Target="http://login.consultant.ru/link/?req=doc&amp;base=LAW&amp;n=389836&amp;date=03.11.2021&amp;dst=245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6539</Words>
  <Characters>37275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2021-11-07T10:44:00Z</dcterms:created>
  <dcterms:modified xsi:type="dcterms:W3CDTF">2021-11-07T10:44:00Z</dcterms:modified>
</cp:coreProperties>
</file>